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F9" w:rsidRDefault="00C960F9" w:rsidP="00C96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РАССМОТРЕНО </w:t>
      </w:r>
    </w:p>
    <w:p w:rsidR="00C960F9" w:rsidRDefault="00C960F9" w:rsidP="00C96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№___2______   </w:t>
      </w:r>
    </w:p>
    <w:p w:rsidR="00C960F9" w:rsidRDefault="00C960F9" w:rsidP="00C96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Педагогическом совете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960F9" w:rsidRDefault="00C960F9" w:rsidP="00C96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C960F9" w:rsidRDefault="00C960F9" w:rsidP="00C96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C960F9" w:rsidRDefault="00C960F9" w:rsidP="00C96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УТВЕРЖДАЮ </w:t>
      </w:r>
    </w:p>
    <w:p w:rsidR="00C960F9" w:rsidRDefault="00C960F9" w:rsidP="00C96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ДЮСШ                                   ________Т.Ю. Макухина</w:t>
      </w:r>
    </w:p>
    <w:p w:rsidR="00C960F9" w:rsidRDefault="00C960F9" w:rsidP="00C960F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«28» августа 2015 г.              </w:t>
      </w:r>
      <w:r w:rsidR="00AD3708">
        <w:rPr>
          <w:rFonts w:ascii="Times New Roman" w:hAnsi="Times New Roman"/>
          <w:sz w:val="28"/>
          <w:szCs w:val="28"/>
        </w:rPr>
        <w:t xml:space="preserve">                  Приказ № 28/16</w:t>
      </w:r>
      <w:r>
        <w:rPr>
          <w:rFonts w:ascii="Times New Roman" w:hAnsi="Times New Roman"/>
          <w:sz w:val="28"/>
          <w:szCs w:val="28"/>
        </w:rPr>
        <w:t xml:space="preserve"> от 28.08.2015г.</w:t>
      </w:r>
    </w:p>
    <w:p w:rsidR="00C960F9" w:rsidRDefault="00C960F9" w:rsidP="00C960F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24"/>
          <w:szCs w:val="24"/>
        </w:rPr>
        <w:sectPr w:rsidR="00C960F9" w:rsidSect="00C960F9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960F9" w:rsidRDefault="00C960F9" w:rsidP="00C960F9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C960F9" w:rsidRDefault="00C960F9" w:rsidP="00C960F9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C960F9" w:rsidRPr="00AD3708" w:rsidRDefault="00C960F9" w:rsidP="00C960F9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37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Положение об итоговых (контрольно-переводных) испытаниях </w:t>
      </w:r>
      <w:bookmarkStart w:id="0" w:name="_GoBack"/>
      <w:bookmarkEnd w:id="0"/>
    </w:p>
    <w:p w:rsidR="00C960F9" w:rsidRDefault="00C960F9" w:rsidP="00C960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муниципального бюджетного образовательного учреждения дополнительного образования детей  «Детско-юношеская спортивная школа»</w:t>
      </w:r>
    </w:p>
    <w:p w:rsidR="00C960F9" w:rsidRPr="008A65D1" w:rsidRDefault="00C960F9" w:rsidP="00C960F9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60F9" w:rsidRDefault="00C960F9" w:rsidP="00C960F9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C960F9" w:rsidRDefault="00C960F9" w:rsidP="00C960F9">
      <w:pPr>
        <w:spacing w:before="30" w:after="30" w:line="240" w:lineRule="auto"/>
        <w:ind w:left="30" w:right="30"/>
        <w:jc w:val="center"/>
        <w:outlineLvl w:val="4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lang w:eastAsia="ru-RU"/>
        </w:rPr>
      </w:pPr>
    </w:p>
    <w:p w:rsidR="00C960F9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Итоговые (контрольно-переводные) испытания общей и специальной (технической) физической подготовки являются обязательными для всех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обучающихся </w:t>
      </w:r>
      <w:r w:rsidRPr="00C960F9">
        <w:rPr>
          <w:rFonts w:ascii="Times New Roman" w:hAnsi="Times New Roman"/>
          <w:bCs/>
          <w:sz w:val="28"/>
          <w:szCs w:val="28"/>
        </w:rPr>
        <w:t>муниципального бюджетного образовательного учреждения дополнительного образования детей  «Детско-юношеская спортивная школа»</w:t>
      </w:r>
      <w:r>
        <w:rPr>
          <w:rFonts w:ascii="Times New Roman" w:hAnsi="Times New Roman"/>
          <w:bCs/>
          <w:sz w:val="28"/>
          <w:szCs w:val="28"/>
        </w:rPr>
        <w:t xml:space="preserve"> (далее ДЮСШ) 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(кроме спортивно-оздоровительных групп). Процесс итоговых (контрольно-переводных) испытаний – тестирование, а полученное в итоге числовое значение – результат тестирования. Тестирование является обязательным компонентом учебно-тренировочного процесса.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Данное положение распространяется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реализующее  образовательную программу физкультурно-спортивной направленности.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К итоговым испытаниям допускаются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имеющие врачебный допуск.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960F9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выезжающие на учебно-тренировочные сборы кандидатов в сборные команды Российской Федерации или международные спортивные соревнования, конкурсы, и тренировочные сборы, могут пройти итоговые испытания досрочно.</w:t>
      </w:r>
    </w:p>
    <w:p w:rsidR="00C960F9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Контрольно-переводные испытания проводятся по завершении учебного года (апрель, май). Сроки и порядок проведения утверждаются приказом директора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960F9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определения уровня физической подготовленности используются утверждённые стандарты нормативы (тесты – упражнения) для каждой возрастной группы. Для осуществления контроля за специальной (технической) подготовленностью 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="008A2BBF"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протокол выступлений на соревнованиях различного ранга, на основании которого присваивается  спортивные звания и разряды.</w:t>
      </w:r>
    </w:p>
    <w:p w:rsidR="00C960F9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Контрольно-переводные испытания проводятся комиссией, утвержденной приказом директора. В состав комиссии входят: директор (председатель комиссии),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инструктор-методист,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тренеры высшей квалификационной категории. 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Итогом контрольно-переводных испытаний (КПИ) являются оценочные таблицы, в которых  имеются соответствующие полу, возрасту стандарты 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(нормативы) ОФП и СФП. Оценочные таблицы представляют собой математическую модель физической и технической подготовленности </w:t>
      </w:r>
      <w:proofErr w:type="gramStart"/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подвергшихся тестированию. Они являются ориентиром, могут корректироваться и уточняться. По итогам КПИ оформляются протоколы (приложение № 1) по группам. </w:t>
      </w:r>
      <w:proofErr w:type="gramStart"/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Заполняются 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каждого 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индивидуальные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отражающие индивидуальные успехи 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протоколы – это ранг среди спортсменов.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C960F9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Перевод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группу следующего года обучения производится решением  педагогического совета на основании стажа занятий, выполнения контрольных нормативных показателей общей и специальной</w:t>
      </w:r>
      <w:r w:rsidRPr="00C960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физической подготовки.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выполнившие эти требования, на следующий год не переводятся. Такие спортсмены, кроме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 высшего спортивного мастерства, могут решением педагогического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продолжить обучение повторный год, но не более одного раза на данном этапе подготовки.</w:t>
      </w:r>
    </w:p>
    <w:p w:rsidR="008A2BBF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не достигшие установленного возраста для перевода в группу следующего уровня обучения, могут переводиться раньше срока, решением педагогического совета при персональном разрешении врача. Перевод осуществляется приказом директора ДЮСШ.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Выпускниками 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ДЮСШ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прошедшие все этапы подготовки и сдавшие выпускные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рмативы.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A2BBF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Выпускникам ДЮСШ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выдается ЗАЧЁТНАЯ КЛАССИФИКАЦИОННАЯ КНИЖКА СПОРТСМЕНА установленного образца. Спортсмены-разрядники получают зачётные квалификационные книжки. </w:t>
      </w:r>
    </w:p>
    <w:p w:rsidR="00C960F9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Выпуск </w:t>
      </w:r>
      <w:proofErr w:type="gramStart"/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="008A2BBF"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приказом директора спортивной школы.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Для повышения эффективности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учебно-тренировочного процесса 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ДЮСШ необходимо формировать систему в течение учебного года  проведения и анализа приемных и промежуточных нормативов по общей и специальной  технической, теоретической подготовке. График промежуточных испытаний разрабатывается тренером-преподавателем, согласуется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директором.</w:t>
      </w:r>
    </w:p>
    <w:p w:rsidR="00C960F9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Промежуточное тестирование позволит вносить оперативные коррективы в учебный процесс.</w:t>
      </w:r>
    </w:p>
    <w:p w:rsidR="00C960F9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о-тренировочные группы (УТГ) в 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ДЮСШ комплектуются из числа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</w:t>
      </w:r>
      <w:proofErr w:type="gramEnd"/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прошедших начальную спортивную подготовку и выполненных приемные нормативы. Группы спортивного совершенствования формируются из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прошедших этап подготовки в УТГ и выполнивших приемные нормативы.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Приемные испытания проводятся в начале учебного года (сентябрь) при комплектовании групп различног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уровня, а также при приеме в 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ДЮСШ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числа общеобразовательных школ, желающих заниматься спортом.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течение учебного года целесообразно предоставлять </w:t>
      </w:r>
      <w:proofErr w:type="gramStart"/>
      <w:r w:rsidRPr="00C547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C54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возможность улучшать результаты. Испытания (промежуточные) можно 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проводить выборочно или по полной программе. Необходимо обеспечить достаточную частоту получения информации о развитии физических качеств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Результаты определения уровня физической подготовленности и ее оценки должны быть доведены и хорошо усвоены каждым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их родителями, а также педагогические коллективы общеобразовательных школ. Для совместной работы тренеров-преподавателей, учителей, родителей, учащихся по совершенствованию физических качеств целесообразно ввести индивидуальные карты физической и специальной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подготовленности воспитанников ДЮСШ.</w:t>
      </w:r>
    </w:p>
    <w:p w:rsidR="007B5273" w:rsidRDefault="00C960F9" w:rsidP="00C960F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проведением тестирования необходимо объяснить 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</w:t>
      </w:r>
    </w:p>
    <w:p w:rsidR="008A2BBF" w:rsidRDefault="00C960F9" w:rsidP="00C960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цель, методику выполнения, критерии оценки за отдельные задания, обоснование средней оценки за все тесты. Перед тестированием должна быть проведена разминка.</w:t>
      </w:r>
    </w:p>
    <w:p w:rsidR="008A2BBF" w:rsidRDefault="00C960F9" w:rsidP="00C960F9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изменения проводятся по единой методике. Могут проводиться как на учебно-тренировочных занятиях, так и в форме </w:t>
      </w:r>
      <w:proofErr w:type="spellStart"/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внеучебных</w:t>
      </w:r>
      <w:proofErr w:type="spellEnd"/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и войти в программу спортивных соревнований.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образовательных программах каждого для проведения контрольных испытаний и экзаменов по теоретической части выделяются специальные учебные части.</w:t>
      </w:r>
    </w:p>
    <w:p w:rsidR="00C960F9" w:rsidRDefault="00C960F9" w:rsidP="00C960F9">
      <w:pPr>
        <w:jc w:val="both"/>
      </w:pP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оведен</w:t>
      </w:r>
      <w:r w:rsidR="00C547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ия тестирования обучающихся </w:t>
      </w:r>
      <w:r w:rsidR="008A2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ДЮСШ </w:t>
      </w:r>
      <w:r w:rsidRPr="009B76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предусматривать их стремлени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показать наилучший результат</w:t>
      </w:r>
    </w:p>
    <w:sectPr w:rsidR="00C960F9" w:rsidSect="00C960F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70E"/>
    <w:rsid w:val="0069370E"/>
    <w:rsid w:val="007B5273"/>
    <w:rsid w:val="008A2BBF"/>
    <w:rsid w:val="00AD3708"/>
    <w:rsid w:val="00C54728"/>
    <w:rsid w:val="00C9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2016-04-13T13:36:00Z</dcterms:created>
  <dcterms:modified xsi:type="dcterms:W3CDTF">2016-04-20T12:44:00Z</dcterms:modified>
</cp:coreProperties>
</file>